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9D8" w:rsidRDefault="00F419D8" w:rsidP="008A348E">
      <w:pPr>
        <w:pStyle w:val="NormalnyWeb"/>
        <w:shd w:val="clear" w:color="auto" w:fill="E7E6E6" w:themeFill="background2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KADRY I PŁACE – PRAWO I PRAKTYKA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F419D8">
        <w:rPr>
          <w:rFonts w:ascii="Tahoma" w:hAnsi="Tahoma" w:cs="Tahoma"/>
          <w:b/>
          <w:color w:val="000000"/>
          <w:sz w:val="20"/>
          <w:szCs w:val="20"/>
        </w:rPr>
        <w:t>Liczba godzin:</w:t>
      </w:r>
      <w:r>
        <w:rPr>
          <w:rFonts w:ascii="Tahoma" w:hAnsi="Tahoma" w:cs="Tahoma"/>
          <w:color w:val="000000"/>
          <w:sz w:val="20"/>
          <w:szCs w:val="20"/>
        </w:rPr>
        <w:t> 200</w:t>
      </w:r>
    </w:p>
    <w:p w:rsidR="00F419D8" w:rsidRP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Czas trwania studiów:</w:t>
      </w:r>
      <w:r>
        <w:rPr>
          <w:rFonts w:ascii="Tahoma" w:hAnsi="Tahoma" w:cs="Tahoma"/>
          <w:color w:val="000000"/>
          <w:sz w:val="20"/>
          <w:szCs w:val="20"/>
        </w:rPr>
        <w:t> 2 semestry</w:t>
      </w:r>
      <w:bookmarkStart w:id="0" w:name="_GoBack"/>
      <w:bookmarkEnd w:id="0"/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Cel studiów:</w:t>
      </w:r>
      <w:r>
        <w:rPr>
          <w:rFonts w:ascii="Tahoma" w:hAnsi="Tahoma" w:cs="Tahoma"/>
          <w:color w:val="000000"/>
          <w:sz w:val="20"/>
          <w:szCs w:val="20"/>
        </w:rPr>
        <w:br/>
        <w:t>Przekazanie uczestnikom wiedzy o charakterze specjalistycznym oraz nabycie przez nich umiejętności praktycznych z zakresu nawiązania oraz trwania stosunku pracy, stosunków pozakodeksowych, zasad naliczania wynagrodzeń, rozliczania świadczeń pracowniczych, prowadzenia dokumentacji kadrowej, dokumentacji podatkowej oraz ZUS. Zdobyta wiedza i umiejętności pozwolą na wykonywanie funkcji kadrowych, kadrowo-płacowych oraz rozliczeniowych.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Adresaci studiów:</w:t>
      </w:r>
      <w:r>
        <w:rPr>
          <w:rFonts w:ascii="Tahoma" w:hAnsi="Tahoma" w:cs="Tahoma"/>
          <w:color w:val="000000"/>
          <w:sz w:val="20"/>
          <w:szCs w:val="20"/>
        </w:rPr>
        <w:br/>
        <w:t>Adresatami studiów są osoby zatrudnione oraz poszukujące zatrudniania w działach kadrowo płacowych urzędów, instytucji publicznych, firm prywatnych. Uczestnictwo w studiach może być również atrakcyjna dla osób prowadzących działalność gospodarczą, które chcą samodzielnie sporządzać dokumentację kadrowo płacowe.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Korzyści dla uczestników:</w:t>
      </w:r>
      <w:r>
        <w:rPr>
          <w:rFonts w:ascii="Tahoma" w:hAnsi="Tahoma" w:cs="Tahoma"/>
          <w:color w:val="000000"/>
          <w:sz w:val="20"/>
          <w:szCs w:val="20"/>
        </w:rPr>
        <w:br/>
        <w:t>Uczestnicy studiów moją możliwość poznania lub pogłębienia wiedzy z zakresu prawa pracy, prawa cywilnego, prawa ubezpieczeń społecznych oraz wynagrodzeń i podstawowych regulacji podatkowych. Dzięki zdobytej wiedzy i umiejętnościom, absolwenci studiów podyplomowych będą mogli świetnie radzili sobie z równymi aspektami kadrowo płacowego aspektu funkcjonowania przedsiębiorstw w burzliwym otoczeniu zewnętrznym. Umiejętne wykorzystanie wiedzy teoretycznej w praktyce pozwoli im na samodzielne i profesjonalne wykonywanie prac w pionie kadrowo-płacowym.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Wykładowcy: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Zajęcia na studiach prowadzone są w nowoczesnej i aktywnej formie ćwiczeń, warsztatów,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case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study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oraz multimedialnych wykładów. Wykładowcami studiów podyplomowych są osoby na co dzień zajmujące się praktycznymi aspektami spraw kadrowo-płacowych. Posiadają wieloletnią praktykę gospodarczą, są jednocześnie znakomitymi pracownikami naukowymi ze znaczącym doświadczeniem w prowadzeniu studiów podyplomowych, szkoleń i treningów doskonalących. Dynamiczna i aktywizująca uczestników forma prowadzenia zajęć pozwoli na wyćwiczenie umiejętności rozwiązywania problemów zarówno przedstawianych przez wykładowcę jak i podnoszonych na bieżąco przez słuchaczy.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Ramowy program studiów: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Pracownicze formy zatrudnienia</w:t>
      </w:r>
      <w:r>
        <w:rPr>
          <w:rFonts w:ascii="Tahoma" w:hAnsi="Tahoma" w:cs="Tahoma"/>
          <w:color w:val="000000"/>
          <w:sz w:val="20"/>
          <w:szCs w:val="20"/>
        </w:rPr>
        <w:br/>
        <w:t>Stosunku pracy (podmiot, przedmiot, treść)</w:t>
      </w:r>
      <w:r>
        <w:rPr>
          <w:rFonts w:ascii="Tahoma" w:hAnsi="Tahoma" w:cs="Tahoma"/>
          <w:color w:val="000000"/>
          <w:sz w:val="20"/>
          <w:szCs w:val="20"/>
        </w:rPr>
        <w:br/>
        <w:t>Umowy o pracę – rodzaje</w:t>
      </w:r>
      <w:r>
        <w:rPr>
          <w:rFonts w:ascii="Tahoma" w:hAnsi="Tahoma" w:cs="Tahoma"/>
          <w:color w:val="000000"/>
          <w:sz w:val="20"/>
          <w:szCs w:val="20"/>
        </w:rPr>
        <w:br/>
        <w:t>Kształtowanie treści umowy o pracę</w:t>
      </w:r>
      <w:r>
        <w:rPr>
          <w:rFonts w:ascii="Tahoma" w:hAnsi="Tahoma" w:cs="Tahoma"/>
          <w:color w:val="000000"/>
          <w:sz w:val="20"/>
          <w:szCs w:val="20"/>
        </w:rPr>
        <w:br/>
        <w:t>Zakaz konkurencji w stosunkach pracy</w:t>
      </w:r>
      <w:r>
        <w:rPr>
          <w:rFonts w:ascii="Tahoma" w:hAnsi="Tahoma" w:cs="Tahoma"/>
          <w:color w:val="000000"/>
          <w:sz w:val="20"/>
          <w:szCs w:val="20"/>
        </w:rPr>
        <w:br/>
        <w:t>Zatrudniania z wykorzystaniem środków z funduszy zewnętrznych</w:t>
      </w:r>
      <w:r>
        <w:rPr>
          <w:rFonts w:ascii="Tahoma" w:hAnsi="Tahoma" w:cs="Tahoma"/>
          <w:color w:val="000000"/>
          <w:sz w:val="20"/>
          <w:szCs w:val="20"/>
        </w:rPr>
        <w:br/>
        <w:t>Analiza wzorców umownych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Pozapracownicze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 nietypowe formy zatrudnienia</w:t>
      </w:r>
      <w:r>
        <w:rPr>
          <w:rFonts w:ascii="Tahoma" w:hAnsi="Tahoma" w:cs="Tahoma"/>
          <w:color w:val="000000"/>
          <w:sz w:val="20"/>
          <w:szCs w:val="20"/>
        </w:rPr>
        <w:br/>
        <w:t>Umowy cywilnoprawne na podstawie których może być świadczona praca</w:t>
      </w:r>
      <w:r>
        <w:rPr>
          <w:rFonts w:ascii="Tahoma" w:hAnsi="Tahoma" w:cs="Tahoma"/>
          <w:color w:val="000000"/>
          <w:sz w:val="20"/>
          <w:szCs w:val="20"/>
        </w:rPr>
        <w:br/>
        <w:t>Umowa o pracę a umowy cywilnoprawne</w:t>
      </w:r>
      <w:r>
        <w:rPr>
          <w:rFonts w:ascii="Tahoma" w:hAnsi="Tahoma" w:cs="Tahoma"/>
          <w:color w:val="000000"/>
          <w:sz w:val="20"/>
          <w:szCs w:val="20"/>
        </w:rPr>
        <w:br/>
        <w:t>Samozatrudnienie</w:t>
      </w:r>
      <w:r>
        <w:rPr>
          <w:rFonts w:ascii="Tahoma" w:hAnsi="Tahoma" w:cs="Tahoma"/>
          <w:color w:val="000000"/>
          <w:sz w:val="20"/>
          <w:szCs w:val="20"/>
        </w:rPr>
        <w:br/>
        <w:t>Nietypowe formy zatrudnienia pracowniczego: umowa o pracę tymczasową, telepraca</w:t>
      </w:r>
      <w:r>
        <w:rPr>
          <w:rFonts w:ascii="Tahoma" w:hAnsi="Tahoma" w:cs="Tahoma"/>
          <w:color w:val="000000"/>
          <w:sz w:val="20"/>
          <w:szCs w:val="20"/>
        </w:rPr>
        <w:br/>
        <w:t>Analiza wzorców umownych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Urlopy i uprawienia rodzicielskie</w:t>
      </w:r>
      <w:r>
        <w:rPr>
          <w:rFonts w:ascii="Tahoma" w:hAnsi="Tahoma" w:cs="Tahoma"/>
          <w:color w:val="000000"/>
          <w:sz w:val="20"/>
          <w:szCs w:val="20"/>
        </w:rPr>
        <w:br/>
        <w:t>Urlopy</w:t>
      </w:r>
      <w:r>
        <w:rPr>
          <w:rFonts w:ascii="Tahoma" w:hAnsi="Tahoma" w:cs="Tahoma"/>
          <w:color w:val="000000"/>
          <w:sz w:val="20"/>
          <w:szCs w:val="20"/>
        </w:rPr>
        <w:br/>
        <w:t>Uprawnienia macierzyńskie</w:t>
      </w:r>
      <w:r>
        <w:rPr>
          <w:rFonts w:ascii="Tahoma" w:hAnsi="Tahoma" w:cs="Tahoma"/>
          <w:color w:val="000000"/>
          <w:sz w:val="20"/>
          <w:szCs w:val="20"/>
        </w:rPr>
        <w:br/>
        <w:t>Uprawnienia ojcowskie</w:t>
      </w:r>
      <w:r>
        <w:rPr>
          <w:rFonts w:ascii="Tahoma" w:hAnsi="Tahoma" w:cs="Tahoma"/>
          <w:color w:val="000000"/>
          <w:sz w:val="20"/>
          <w:szCs w:val="20"/>
        </w:rPr>
        <w:br/>
        <w:t>Zasady zatrudniania kobiet w ciąży</w:t>
      </w:r>
      <w:r>
        <w:rPr>
          <w:rFonts w:ascii="Tahoma" w:hAnsi="Tahoma" w:cs="Tahoma"/>
          <w:color w:val="000000"/>
          <w:sz w:val="20"/>
          <w:szCs w:val="20"/>
        </w:rPr>
        <w:br/>
        <w:t>Analiza wzorców dokumentacji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Ustanie stosunku pracy</w:t>
      </w:r>
      <w:r>
        <w:rPr>
          <w:rFonts w:ascii="Tahoma" w:hAnsi="Tahoma" w:cs="Tahoma"/>
          <w:color w:val="000000"/>
          <w:sz w:val="20"/>
          <w:szCs w:val="20"/>
        </w:rPr>
        <w:br/>
        <w:t>Rozwiązanie stosunku pracy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Zasadność rozwiązania umowy o pracę za wypowiedzeniem i bez wypowiedzenia</w:t>
      </w:r>
      <w:r>
        <w:rPr>
          <w:rFonts w:ascii="Tahoma" w:hAnsi="Tahoma" w:cs="Tahoma"/>
          <w:color w:val="000000"/>
          <w:sz w:val="20"/>
          <w:szCs w:val="20"/>
        </w:rPr>
        <w:br/>
        <w:t>Wygaśnięcie umowy o pracę</w:t>
      </w:r>
      <w:r>
        <w:rPr>
          <w:rFonts w:ascii="Tahoma" w:hAnsi="Tahoma" w:cs="Tahoma"/>
          <w:color w:val="000000"/>
          <w:sz w:val="20"/>
          <w:szCs w:val="20"/>
        </w:rPr>
        <w:br/>
        <w:t>Obowiązki pracodawcy związane z ustaniem stosunku pracy</w:t>
      </w:r>
      <w:r>
        <w:rPr>
          <w:rFonts w:ascii="Tahoma" w:hAnsi="Tahoma" w:cs="Tahoma"/>
          <w:color w:val="000000"/>
          <w:sz w:val="20"/>
          <w:szCs w:val="20"/>
        </w:rPr>
        <w:br/>
        <w:t>Analiza wzorów dokumentów oraz orzecznictwa związanych z rozwiązaniem umowy o pracę (warsztaty)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Mediacje i negocjacje w warunkach zatrudnienia</w:t>
      </w:r>
      <w:r>
        <w:rPr>
          <w:rFonts w:ascii="Tahoma" w:hAnsi="Tahoma" w:cs="Tahoma"/>
          <w:color w:val="000000"/>
          <w:sz w:val="20"/>
          <w:szCs w:val="20"/>
        </w:rPr>
        <w:br/>
        <w:t>Negocjowanie z podmiotami indywidualnymi</w:t>
      </w:r>
      <w:r>
        <w:rPr>
          <w:rFonts w:ascii="Tahoma" w:hAnsi="Tahoma" w:cs="Tahoma"/>
          <w:color w:val="000000"/>
          <w:sz w:val="20"/>
          <w:szCs w:val="20"/>
        </w:rPr>
        <w:br/>
        <w:t>Negocjowania z podmiotami zbiorowymi</w:t>
      </w:r>
      <w:r>
        <w:rPr>
          <w:rFonts w:ascii="Tahoma" w:hAnsi="Tahoma" w:cs="Tahoma"/>
          <w:color w:val="000000"/>
          <w:sz w:val="20"/>
          <w:szCs w:val="20"/>
        </w:rPr>
        <w:br/>
        <w:t>Mediacje w stosunkach pracy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Czas pracy</w:t>
      </w:r>
      <w:r>
        <w:rPr>
          <w:rFonts w:ascii="Tahoma" w:hAnsi="Tahoma" w:cs="Tahoma"/>
          <w:color w:val="000000"/>
          <w:sz w:val="20"/>
          <w:szCs w:val="20"/>
        </w:rPr>
        <w:br/>
        <w:t>System, rozkład oraz okres rozliczeniowy czasu pracy</w:t>
      </w:r>
      <w:r>
        <w:rPr>
          <w:rFonts w:ascii="Tahoma" w:hAnsi="Tahoma" w:cs="Tahoma"/>
          <w:color w:val="000000"/>
          <w:sz w:val="20"/>
          <w:szCs w:val="20"/>
        </w:rPr>
        <w:br/>
        <w:t>Planowanie czasu</w:t>
      </w:r>
      <w:r>
        <w:rPr>
          <w:rFonts w:ascii="Tahoma" w:hAnsi="Tahoma" w:cs="Tahoma"/>
          <w:color w:val="000000"/>
          <w:sz w:val="20"/>
          <w:szCs w:val="20"/>
        </w:rPr>
        <w:br/>
        <w:t>Praca w godzinach nadliczbowych</w:t>
      </w:r>
      <w:r>
        <w:rPr>
          <w:rFonts w:ascii="Tahoma" w:hAnsi="Tahoma" w:cs="Tahoma"/>
          <w:color w:val="000000"/>
          <w:sz w:val="20"/>
          <w:szCs w:val="20"/>
        </w:rPr>
        <w:br/>
        <w:t>Czas pracy szczególnych grup zawodowych</w:t>
      </w:r>
      <w:r>
        <w:rPr>
          <w:rFonts w:ascii="Tahoma" w:hAnsi="Tahoma" w:cs="Tahoma"/>
          <w:color w:val="000000"/>
          <w:sz w:val="20"/>
          <w:szCs w:val="20"/>
        </w:rPr>
        <w:br/>
        <w:t>Dokumentowanie czasu pracy</w:t>
      </w:r>
      <w:r>
        <w:rPr>
          <w:rFonts w:ascii="Tahoma" w:hAnsi="Tahoma" w:cs="Tahoma"/>
          <w:color w:val="000000"/>
          <w:sz w:val="20"/>
          <w:szCs w:val="20"/>
        </w:rPr>
        <w:br/>
        <w:t>Analiza orzecznictwa i interpretacji prawnych</w:t>
      </w:r>
      <w:r>
        <w:rPr>
          <w:rFonts w:ascii="Tahoma" w:hAnsi="Tahoma" w:cs="Tahoma"/>
          <w:color w:val="000000"/>
          <w:sz w:val="20"/>
          <w:szCs w:val="20"/>
        </w:rPr>
        <w:br/>
        <w:t>Czas pracy w warunkach szczególnych</w:t>
      </w:r>
      <w:r>
        <w:rPr>
          <w:rFonts w:ascii="Tahoma" w:hAnsi="Tahoma" w:cs="Tahoma"/>
          <w:color w:val="000000"/>
          <w:sz w:val="20"/>
          <w:szCs w:val="20"/>
        </w:rPr>
        <w:br/>
        <w:t>Planowanie i rozliczanie czasu pracy w różnych systemach czasu pracy - warsztat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Stosunek pracy - wybrane problemy</w:t>
      </w:r>
      <w:r>
        <w:rPr>
          <w:rFonts w:ascii="Tahoma" w:hAnsi="Tahoma" w:cs="Tahoma"/>
          <w:color w:val="000000"/>
          <w:sz w:val="20"/>
          <w:szCs w:val="20"/>
        </w:rPr>
        <w:br/>
        <w:t>Związki zawodowe w zakładzie pracy.</w:t>
      </w:r>
      <w:r>
        <w:rPr>
          <w:rFonts w:ascii="Tahoma" w:hAnsi="Tahoma" w:cs="Tahoma"/>
          <w:color w:val="000000"/>
          <w:sz w:val="20"/>
          <w:szCs w:val="20"/>
        </w:rPr>
        <w:br/>
        <w:t>Zwolnienia grupowe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Mobbing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 dyskryminacja w stosunku pracy.</w:t>
      </w:r>
      <w:r>
        <w:rPr>
          <w:rFonts w:ascii="Tahoma" w:hAnsi="Tahoma" w:cs="Tahoma"/>
          <w:color w:val="000000"/>
          <w:sz w:val="20"/>
          <w:szCs w:val="20"/>
        </w:rPr>
        <w:br/>
        <w:t>Zasady zatrudniania cudzoziemców</w:t>
      </w:r>
      <w:r>
        <w:rPr>
          <w:rFonts w:ascii="Tahoma" w:hAnsi="Tahoma" w:cs="Tahoma"/>
          <w:color w:val="000000"/>
          <w:sz w:val="20"/>
          <w:szCs w:val="20"/>
        </w:rPr>
        <w:br/>
        <w:t>Tajemnice: służbowa, zastrzeżona, poufna, państwowa</w:t>
      </w:r>
      <w:r>
        <w:rPr>
          <w:rFonts w:ascii="Tahoma" w:hAnsi="Tahoma" w:cs="Tahoma"/>
          <w:color w:val="000000"/>
          <w:sz w:val="20"/>
          <w:szCs w:val="20"/>
        </w:rPr>
        <w:br/>
        <w:t>Obieg dokumentów związanych z tajemnicami</w:t>
      </w:r>
      <w:r>
        <w:rPr>
          <w:rFonts w:ascii="Tahoma" w:hAnsi="Tahoma" w:cs="Tahoma"/>
          <w:color w:val="000000"/>
          <w:sz w:val="20"/>
          <w:szCs w:val="20"/>
        </w:rPr>
        <w:br/>
        <w:t>Akty prawa wewnętrznego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Obowiązki dokumentacyjne zakładu pracy</w:t>
      </w:r>
      <w:r>
        <w:rPr>
          <w:rFonts w:ascii="Tahoma" w:hAnsi="Tahoma" w:cs="Tahoma"/>
          <w:color w:val="000000"/>
          <w:sz w:val="20"/>
          <w:szCs w:val="20"/>
        </w:rPr>
        <w:br/>
        <w:t>Obowiązek prowadzenia dokumentacji pracowniczej</w:t>
      </w:r>
      <w:r>
        <w:rPr>
          <w:rFonts w:ascii="Tahoma" w:hAnsi="Tahoma" w:cs="Tahoma"/>
          <w:color w:val="000000"/>
          <w:sz w:val="20"/>
          <w:szCs w:val="20"/>
        </w:rPr>
        <w:br/>
        <w:t>Akta osobowe pracownika</w:t>
      </w:r>
      <w:r>
        <w:rPr>
          <w:rFonts w:ascii="Tahoma" w:hAnsi="Tahoma" w:cs="Tahoma"/>
          <w:color w:val="000000"/>
          <w:sz w:val="20"/>
          <w:szCs w:val="20"/>
        </w:rPr>
        <w:br/>
        <w:t>Pozostałe dokumenty dotyczące stosunku pracy (karta wynagrodzeń, ewidencja czasu pracy)</w:t>
      </w:r>
      <w:r>
        <w:rPr>
          <w:rFonts w:ascii="Tahoma" w:hAnsi="Tahoma" w:cs="Tahoma"/>
          <w:color w:val="000000"/>
          <w:sz w:val="20"/>
          <w:szCs w:val="20"/>
        </w:rPr>
        <w:br/>
        <w:t>Przechowywanie dokumentacji pracowniczej</w:t>
      </w:r>
      <w:r>
        <w:rPr>
          <w:rFonts w:ascii="Tahoma" w:hAnsi="Tahoma" w:cs="Tahoma"/>
          <w:color w:val="000000"/>
          <w:sz w:val="20"/>
          <w:szCs w:val="20"/>
        </w:rPr>
        <w:br/>
        <w:t>Wzorcowa dokumentacja – analiza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Odpowiedzialność pracodawcy</w:t>
      </w:r>
      <w:r>
        <w:rPr>
          <w:rFonts w:ascii="Tahoma" w:hAnsi="Tahoma" w:cs="Tahoma"/>
          <w:color w:val="000000"/>
          <w:sz w:val="20"/>
          <w:szCs w:val="20"/>
        </w:rPr>
        <w:br/>
        <w:t>Odpowiedzialność za wykroczenia przeciwko prawom pracownika</w:t>
      </w:r>
      <w:r>
        <w:rPr>
          <w:rFonts w:ascii="Tahoma" w:hAnsi="Tahoma" w:cs="Tahoma"/>
          <w:color w:val="000000"/>
          <w:sz w:val="20"/>
          <w:szCs w:val="20"/>
        </w:rPr>
        <w:br/>
        <w:t>Odpowiedzialność za działania wbrew obowiązkowe zbiorowego prawa pracy</w:t>
      </w:r>
      <w:r>
        <w:rPr>
          <w:rFonts w:ascii="Tahoma" w:hAnsi="Tahoma" w:cs="Tahoma"/>
          <w:color w:val="000000"/>
          <w:sz w:val="20"/>
          <w:szCs w:val="20"/>
        </w:rPr>
        <w:br/>
        <w:t>Odpowiedzialność za niedopełnienie wytycznych BHP</w:t>
      </w:r>
      <w:r>
        <w:rPr>
          <w:rFonts w:ascii="Tahoma" w:hAnsi="Tahoma" w:cs="Tahoma"/>
          <w:color w:val="000000"/>
          <w:sz w:val="20"/>
          <w:szCs w:val="20"/>
        </w:rPr>
        <w:br/>
        <w:t>Ubezpieczenie w stosunku pracy i przy umowach cywilnoprawnych</w:t>
      </w:r>
      <w:r>
        <w:rPr>
          <w:rFonts w:ascii="Tahoma" w:hAnsi="Tahoma" w:cs="Tahoma"/>
          <w:color w:val="000000"/>
          <w:sz w:val="20"/>
          <w:szCs w:val="20"/>
        </w:rPr>
        <w:br/>
        <w:t>Ubezpieczenia społeczne i zdrowotne</w:t>
      </w:r>
      <w:r>
        <w:rPr>
          <w:rFonts w:ascii="Tahoma" w:hAnsi="Tahoma" w:cs="Tahoma"/>
          <w:color w:val="000000"/>
          <w:sz w:val="20"/>
          <w:szCs w:val="20"/>
        </w:rPr>
        <w:br/>
        <w:t>Inne należności pobierane przez ZUS</w:t>
      </w:r>
      <w:r>
        <w:rPr>
          <w:rFonts w:ascii="Tahoma" w:hAnsi="Tahoma" w:cs="Tahoma"/>
          <w:color w:val="000000"/>
          <w:sz w:val="20"/>
          <w:szCs w:val="20"/>
        </w:rPr>
        <w:br/>
        <w:t>Świadczenia z ubezpieczenia chorobowego wypadkowego</w:t>
      </w:r>
      <w:r>
        <w:rPr>
          <w:rFonts w:ascii="Tahoma" w:hAnsi="Tahoma" w:cs="Tahoma"/>
          <w:color w:val="000000"/>
          <w:sz w:val="20"/>
          <w:szCs w:val="20"/>
        </w:rPr>
        <w:br/>
        <w:t>Ubezpieczenia społeczne i ubezpieczenia zdrowotne osób wykonujących pracę na podstawie umów cywilnoprawnych</w:t>
      </w:r>
      <w:r>
        <w:rPr>
          <w:rFonts w:ascii="Tahoma" w:hAnsi="Tahoma" w:cs="Tahoma"/>
          <w:color w:val="000000"/>
          <w:sz w:val="20"/>
          <w:szCs w:val="20"/>
        </w:rPr>
        <w:br/>
        <w:t>Dokumentowanie ubezpieczeń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Płace i ewidencja księgowa</w:t>
      </w:r>
      <w:r>
        <w:rPr>
          <w:rFonts w:ascii="Tahoma" w:hAnsi="Tahoma" w:cs="Tahoma"/>
          <w:color w:val="000000"/>
          <w:sz w:val="20"/>
          <w:szCs w:val="20"/>
        </w:rPr>
        <w:br/>
        <w:t>Składniki i systemy wynagrodzenia za pracę</w:t>
      </w:r>
      <w:r>
        <w:rPr>
          <w:rFonts w:ascii="Tahoma" w:hAnsi="Tahoma" w:cs="Tahoma"/>
          <w:color w:val="000000"/>
          <w:sz w:val="20"/>
          <w:szCs w:val="20"/>
        </w:rPr>
        <w:br/>
        <w:t>Wynagrodzenie za czas choroby, niewykorzystany urlop, godziny nadliczbowe, porę nocną</w:t>
      </w:r>
      <w:r>
        <w:rPr>
          <w:rFonts w:ascii="Tahoma" w:hAnsi="Tahoma" w:cs="Tahoma"/>
          <w:color w:val="000000"/>
          <w:sz w:val="20"/>
          <w:szCs w:val="20"/>
        </w:rPr>
        <w:br/>
        <w:t>Termin, forma, miejsce wypłaty wynagrodzenia za pracę</w:t>
      </w:r>
      <w:r>
        <w:rPr>
          <w:rFonts w:ascii="Tahoma" w:hAnsi="Tahoma" w:cs="Tahoma"/>
          <w:color w:val="000000"/>
          <w:sz w:val="20"/>
          <w:szCs w:val="20"/>
        </w:rPr>
        <w:br/>
        <w:t>Potrącenia i odprawy</w:t>
      </w:r>
      <w:r>
        <w:rPr>
          <w:rFonts w:ascii="Tahoma" w:hAnsi="Tahoma" w:cs="Tahoma"/>
          <w:color w:val="000000"/>
          <w:sz w:val="20"/>
          <w:szCs w:val="20"/>
        </w:rPr>
        <w:br/>
        <w:t>Podróże służbowe</w:t>
      </w:r>
      <w:r>
        <w:rPr>
          <w:rFonts w:ascii="Tahoma" w:hAnsi="Tahoma" w:cs="Tahoma"/>
          <w:color w:val="000000"/>
          <w:sz w:val="20"/>
          <w:szCs w:val="20"/>
        </w:rPr>
        <w:br/>
        <w:t>Zagadnienia podatkowe</w:t>
      </w:r>
      <w:r>
        <w:rPr>
          <w:rFonts w:ascii="Tahoma" w:hAnsi="Tahoma" w:cs="Tahoma"/>
          <w:color w:val="000000"/>
          <w:sz w:val="20"/>
          <w:szCs w:val="20"/>
        </w:rPr>
        <w:br/>
        <w:t>Obowiązki wynikające z ustawy o podatku dochodowym od osób fizycznych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lastRenderedPageBreak/>
        <w:t>Podstawy opodatkowania wynagrodzenia za pracę oraz innych świadczeń pracowniczych</w:t>
      </w:r>
      <w:r>
        <w:rPr>
          <w:rFonts w:ascii="Tahoma" w:hAnsi="Tahoma" w:cs="Tahoma"/>
          <w:color w:val="000000"/>
          <w:sz w:val="20"/>
          <w:szCs w:val="20"/>
        </w:rPr>
        <w:br/>
        <w:t>Inne podatki (VAT, od nieruchomości)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Ubezpieczenie Społeczne i świadczenia socjalne</w:t>
      </w:r>
      <w:r>
        <w:rPr>
          <w:rFonts w:ascii="Tahoma" w:hAnsi="Tahoma" w:cs="Tahoma"/>
          <w:color w:val="000000"/>
          <w:sz w:val="20"/>
          <w:szCs w:val="20"/>
        </w:rPr>
        <w:br/>
        <w:t>Zasiłki z ubezpieczenia chorobowego dla osób podlegających ubezpieczeniu</w:t>
      </w:r>
      <w:r>
        <w:rPr>
          <w:rFonts w:ascii="Tahoma" w:hAnsi="Tahoma" w:cs="Tahoma"/>
          <w:color w:val="000000"/>
          <w:sz w:val="20"/>
          <w:szCs w:val="20"/>
        </w:rPr>
        <w:br/>
        <w:t>Świadczenia w razie choroby z ubezpieczenia wypadkowego (ustalanie prawa do zasiłków, ustalanie podstawy wymiaru zasiłków)</w:t>
      </w:r>
      <w:r>
        <w:rPr>
          <w:rFonts w:ascii="Tahoma" w:hAnsi="Tahoma" w:cs="Tahoma"/>
          <w:color w:val="000000"/>
          <w:sz w:val="20"/>
          <w:szCs w:val="20"/>
        </w:rPr>
        <w:br/>
        <w:t>Zakładowe fundusze świadczeń socjalnych</w:t>
      </w:r>
      <w:r>
        <w:rPr>
          <w:rFonts w:ascii="Tahoma" w:hAnsi="Tahoma" w:cs="Tahoma"/>
          <w:color w:val="000000"/>
          <w:sz w:val="20"/>
          <w:szCs w:val="20"/>
        </w:rPr>
        <w:br/>
        <w:t>Zagadnienia obowiązkowych wpłat na PFRON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Ubezpieczenie zdrowotne</w:t>
      </w:r>
      <w:r>
        <w:rPr>
          <w:rFonts w:ascii="Tahoma" w:hAnsi="Tahoma" w:cs="Tahoma"/>
          <w:color w:val="000000"/>
          <w:sz w:val="20"/>
          <w:szCs w:val="20"/>
        </w:rPr>
        <w:br/>
        <w:t>Zasady podlegania ubezpieczeniom zdrowotnym i finansowania składek</w:t>
      </w:r>
      <w:r>
        <w:rPr>
          <w:rFonts w:ascii="Tahoma" w:hAnsi="Tahoma" w:cs="Tahoma"/>
          <w:color w:val="000000"/>
          <w:sz w:val="20"/>
          <w:szCs w:val="20"/>
        </w:rPr>
        <w:br/>
        <w:t>Wymiaru składek na ubezpieczenie zdrowotne – podstawa obliczanie</w:t>
      </w:r>
      <w:r>
        <w:rPr>
          <w:rFonts w:ascii="Tahoma" w:hAnsi="Tahoma" w:cs="Tahoma"/>
          <w:color w:val="000000"/>
          <w:sz w:val="20"/>
          <w:szCs w:val="20"/>
        </w:rPr>
        <w:br/>
        <w:t>Zbieg tytułów do ubezpieczenia zdrowotnego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Kontrola w sprawach kadrowo-płacowych</w:t>
      </w:r>
      <w:r>
        <w:rPr>
          <w:rFonts w:ascii="Tahoma" w:hAnsi="Tahoma" w:cs="Tahoma"/>
          <w:color w:val="000000"/>
          <w:sz w:val="20"/>
          <w:szCs w:val="20"/>
        </w:rPr>
        <w:br/>
        <w:t>Przygotowania do kontroli</w:t>
      </w:r>
      <w:r>
        <w:rPr>
          <w:rFonts w:ascii="Tahoma" w:hAnsi="Tahoma" w:cs="Tahoma"/>
          <w:color w:val="000000"/>
          <w:sz w:val="20"/>
          <w:szCs w:val="20"/>
        </w:rPr>
        <w:br/>
        <w:t>Prawa i obowiązki podmiotu kontrolowanego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Forma zaliczenia:</w:t>
      </w:r>
    </w:p>
    <w:p w:rsidR="00F419D8" w:rsidRDefault="00F419D8" w:rsidP="00F419D8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Test z wybranych zagadnień programowych</w:t>
      </w:r>
      <w:r>
        <w:rPr>
          <w:rFonts w:ascii="Tahoma" w:hAnsi="Tahoma" w:cs="Tahoma"/>
          <w:color w:val="000000"/>
          <w:sz w:val="20"/>
          <w:szCs w:val="20"/>
        </w:rPr>
        <w:br/>
        <w:t>praca podyplomowa - projektowa</w:t>
      </w:r>
    </w:p>
    <w:p w:rsidR="00F419D8" w:rsidRDefault="00F419D8"/>
    <w:p w:rsidR="00BC1E9C" w:rsidRDefault="00F419D8">
      <w:r>
        <w:t>Koszt (rekrutacja zimowa 2023) – 3200 zł</w:t>
      </w:r>
    </w:p>
    <w:sectPr w:rsidR="00BC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FF"/>
    <w:rsid w:val="008A348E"/>
    <w:rsid w:val="009740FF"/>
    <w:rsid w:val="00BC1E9C"/>
    <w:rsid w:val="00F4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D9EBB-CBC7-4073-BC66-27C997CE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4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19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845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dcterms:created xsi:type="dcterms:W3CDTF">2023-02-22T11:29:00Z</dcterms:created>
  <dcterms:modified xsi:type="dcterms:W3CDTF">2023-02-22T11:34:00Z</dcterms:modified>
</cp:coreProperties>
</file>